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AA1245">
              <w:rPr>
                <w:rFonts w:ascii="Arial" w:hAnsi="Arial" w:cs="Arial"/>
                <w:sz w:val="22"/>
              </w:rPr>
              <w:t>t</w:t>
            </w:r>
            <w:r w:rsidR="00B0621A">
              <w:rPr>
                <w:rFonts w:ascii="Arial" w:hAnsi="Arial" w:cs="Arial"/>
                <w:sz w:val="22"/>
              </w:rPr>
              <w:t>. 20</w:t>
            </w:r>
            <w:r w:rsidR="00FC5439">
              <w:rPr>
                <w:rFonts w:ascii="Arial" w:hAnsi="Arial" w:cs="Arial"/>
                <w:sz w:val="22"/>
              </w:rPr>
              <w:t>1</w:t>
            </w:r>
            <w:r w:rsidR="00AA1245">
              <w:rPr>
                <w:rFonts w:ascii="Arial" w:hAnsi="Arial" w:cs="Arial"/>
                <w:sz w:val="22"/>
              </w:rPr>
              <w:t>1</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AA1245">
            <w:pPr>
              <w:rPr>
                <w:rFonts w:ascii="Arial" w:hAnsi="Arial" w:cs="Arial"/>
                <w:sz w:val="22"/>
              </w:rPr>
            </w:pPr>
            <w:r>
              <w:rPr>
                <w:rFonts w:ascii="Arial" w:hAnsi="Arial" w:cs="Arial"/>
                <w:sz w:val="22"/>
              </w:rPr>
              <w:t>Sept. 2010</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50179B" w:rsidRDefault="008D4E42">
            <w:pPr>
              <w:jc w:val="center"/>
              <w:rPr>
                <w:rFonts w:ascii="Arial" w:hAnsi="Arial" w:cs="Arial"/>
                <w:sz w:val="24"/>
                <w:szCs w:val="24"/>
              </w:rPr>
            </w:pPr>
            <w:r>
              <w:rPr>
                <w:rFonts w:ascii="Franklin Gothic Book" w:hAnsi="Franklin Gothic Book"/>
                <w:sz w:val="22"/>
                <w:szCs w:val="22"/>
              </w:rPr>
              <w:t>“Angelique Lemay”</w:t>
            </w:r>
          </w:p>
          <w:p w:rsidR="00351A12" w:rsidRDefault="00351A12">
            <w:pPr>
              <w:jc w:val="center"/>
              <w:rPr>
                <w:rFonts w:ascii="Arial" w:hAnsi="Arial" w:cs="Arial"/>
                <w:sz w:val="22"/>
              </w:rPr>
            </w:pPr>
          </w:p>
        </w:tc>
        <w:tc>
          <w:tcPr>
            <w:tcW w:w="1980" w:type="dxa"/>
          </w:tcPr>
          <w:p w:rsidR="00351A12" w:rsidRDefault="008D4E42">
            <w:pPr>
              <w:rPr>
                <w:rFonts w:ascii="Arial" w:hAnsi="Arial" w:cs="Arial"/>
                <w:sz w:val="22"/>
              </w:rPr>
            </w:pPr>
            <w:r>
              <w:rPr>
                <w:rFonts w:ascii="Franklin Gothic Book" w:hAnsi="Franklin Gothic Book"/>
                <w:sz w:val="22"/>
                <w:szCs w:val="22"/>
              </w:rPr>
              <w:t>June, 2011</w:t>
            </w: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w:t>
            </w:r>
            <w:r w:rsidR="001466CF">
              <w:rPr>
                <w:rFonts w:cs="Arial"/>
                <w:b/>
                <w:bCs/>
                <w:u w:val="none"/>
              </w:rPr>
              <w:t>1</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1466CF" w:rsidRDefault="001466CF">
      <w:pPr>
        <w:pStyle w:val="EnvelopeReturn"/>
      </w:pPr>
    </w:p>
    <w:p w:rsidR="00351A12" w:rsidRDefault="00351A12">
      <w:pPr>
        <w:pStyle w:val="BodyText2"/>
      </w:pPr>
      <w:r>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1466CF" w:rsidRDefault="001466CF">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1466CF" w:rsidRDefault="001466CF">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AA1245" w:rsidP="00940B5A">
      <w:pPr>
        <w:pStyle w:val="EnvelopeReturn"/>
        <w:spacing w:line="276" w:lineRule="auto"/>
      </w:pPr>
      <w:r>
        <w:t>There is no text required for the course.  The professor will provide students with any handouts necessary.</w:t>
      </w:r>
    </w:p>
    <w:p w:rsidR="00AA1245" w:rsidRDefault="00AA1245" w:rsidP="00940B5A">
      <w:pPr>
        <w:pStyle w:val="EnvelopeReturn"/>
        <w:spacing w:line="276" w:lineRule="auto"/>
      </w:pPr>
    </w:p>
    <w:p w:rsidR="001466CF" w:rsidRDefault="001466CF"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t>Evaluation of oral presentations</w:t>
      </w:r>
      <w:r w:rsidR="0069429B">
        <w:tab/>
      </w:r>
      <w:r w:rsidR="0069429B">
        <w:tab/>
      </w:r>
      <w:r w:rsidR="00AA1245">
        <w:rPr>
          <w:b/>
        </w:rPr>
        <w:t>10</w:t>
      </w:r>
      <w:r w:rsidR="0069429B" w:rsidRPr="0069429B">
        <w:rPr>
          <w:b/>
        </w:rPr>
        <w:t>%</w:t>
      </w:r>
    </w:p>
    <w:p w:rsidR="0069429B" w:rsidRPr="0069429B" w:rsidRDefault="0069429B">
      <w:pPr>
        <w:pStyle w:val="BodyText"/>
        <w:rPr>
          <w:b/>
        </w:rPr>
      </w:pPr>
      <w:r>
        <w:t xml:space="preserve">2.   </w:t>
      </w:r>
      <w:r>
        <w:tab/>
        <w:t>Oral presentation</w:t>
      </w:r>
      <w:r>
        <w:tab/>
      </w:r>
      <w:r>
        <w:tab/>
      </w:r>
      <w:r>
        <w:tab/>
      </w:r>
      <w:r>
        <w:tab/>
      </w:r>
      <w:r w:rsidR="00AA1245">
        <w:rPr>
          <w:b/>
        </w:rPr>
        <w:t>20</w:t>
      </w:r>
      <w:r w:rsidRPr="0069429B">
        <w:rPr>
          <w:b/>
        </w:rPr>
        <w:t>%</w:t>
      </w:r>
    </w:p>
    <w:p w:rsidR="0069429B" w:rsidRPr="0069429B" w:rsidRDefault="0069429B">
      <w:pPr>
        <w:pStyle w:val="BodyText"/>
        <w:rPr>
          <w:b/>
        </w:rPr>
      </w:pPr>
      <w:r>
        <w:t xml:space="preserve">3.   </w:t>
      </w:r>
      <w:r>
        <w:tab/>
        <w:t xml:space="preserve">Written persuasive document </w:t>
      </w:r>
      <w:r>
        <w:tab/>
      </w:r>
      <w:r>
        <w:tab/>
      </w:r>
      <w:r w:rsidRPr="0069429B">
        <w:rPr>
          <w:b/>
        </w:rPr>
        <w:t>10%</w:t>
      </w:r>
    </w:p>
    <w:p w:rsidR="0069429B" w:rsidRDefault="0069429B">
      <w:pPr>
        <w:pStyle w:val="BodyText"/>
      </w:pPr>
      <w:r>
        <w:t>(</w:t>
      </w:r>
      <w:proofErr w:type="gramStart"/>
      <w:r>
        <w:t>format</w:t>
      </w:r>
      <w:proofErr w:type="gramEnd"/>
      <w:r>
        <w:t xml:space="preserve"> as assigned by professor: proposal, essay or report)</w:t>
      </w:r>
    </w:p>
    <w:p w:rsidR="0069429B" w:rsidRDefault="0069429B" w:rsidP="0069429B">
      <w:pPr>
        <w:pStyle w:val="BodyText"/>
        <w:numPr>
          <w:ilvl w:val="0"/>
          <w:numId w:val="13"/>
        </w:numPr>
      </w:pPr>
      <w:r>
        <w:t>Written assignments/tests</w:t>
      </w:r>
      <w:r>
        <w:tab/>
      </w:r>
      <w:r>
        <w:tab/>
      </w:r>
      <w:r>
        <w:tab/>
      </w:r>
      <w:r w:rsidR="00AA1245">
        <w:rPr>
          <w:b/>
        </w:rPr>
        <w:t>60</w:t>
      </w:r>
      <w:r w:rsidRPr="0069429B">
        <w:rPr>
          <w:b/>
        </w:rPr>
        <w:t>%</w:t>
      </w:r>
    </w:p>
    <w:p w:rsidR="00C073F6" w:rsidRPr="0069429B" w:rsidRDefault="0069429B" w:rsidP="0069429B">
      <w:pPr>
        <w:pStyle w:val="BodyText"/>
        <w:ind w:left="4320" w:firstLine="720"/>
        <w:rPr>
          <w:b/>
        </w:rPr>
      </w:pPr>
      <w:r w:rsidRPr="0069429B">
        <w:rPr>
          <w:b/>
        </w:rPr>
        <w:t>100%</w:t>
      </w:r>
    </w:p>
    <w:p w:rsidR="00351A12" w:rsidRDefault="00351A12" w:rsidP="00C073F6">
      <w:pPr>
        <w:rPr>
          <w:rFonts w:ascii="Arial" w:hAnsi="Arial"/>
          <w:sz w:val="22"/>
        </w:rPr>
      </w:pPr>
    </w:p>
    <w:p w:rsidR="00765D18" w:rsidRDefault="00765D1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A92785" w:rsidRDefault="00A92785">
      <w:pPr>
        <w:rPr>
          <w:rFonts w:ascii="Arial" w:hAnsi="Arial"/>
          <w:sz w:val="22"/>
        </w:rPr>
      </w:pPr>
    </w:p>
    <w:p w:rsidR="00351A12" w:rsidRDefault="00351A12">
      <w:pPr>
        <w:rPr>
          <w:rFonts w:ascii="Arial" w:hAnsi="Arial"/>
          <w:sz w:val="22"/>
        </w:rPr>
      </w:pPr>
    </w:p>
    <w:p w:rsidR="00351A12" w:rsidRDefault="00351A12">
      <w:pPr>
        <w:rPr>
          <w:rFonts w:ascii="Arial" w:hAnsi="Arial"/>
          <w:b/>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tblPr>
      <w:tblGrid>
        <w:gridCol w:w="675"/>
        <w:gridCol w:w="1701"/>
        <w:gridCol w:w="4678"/>
        <w:gridCol w:w="1802"/>
      </w:tblGrid>
      <w:tr w:rsidR="00351A12" w:rsidTr="00765D18">
        <w:trPr>
          <w:cantSplit/>
          <w:trHeight w:val="80"/>
        </w:trPr>
        <w:tc>
          <w:tcPr>
            <w:tcW w:w="675" w:type="dxa"/>
          </w:tcPr>
          <w:p w:rsidR="00351A12" w:rsidRDefault="00351A12">
            <w:pPr>
              <w:pStyle w:val="EnvelopeReturn"/>
              <w:rPr>
                <w:rFonts w:cs="Arial"/>
              </w:rPr>
            </w:pPr>
          </w:p>
        </w:tc>
        <w:tc>
          <w:tcPr>
            <w:tcW w:w="8181" w:type="dxa"/>
            <w:gridSpan w:val="3"/>
          </w:tcPr>
          <w:p w:rsidR="00351A12" w:rsidRDefault="00351A12">
            <w:pPr>
              <w:rPr>
                <w:rFonts w:ascii="Arial" w:hAnsi="Arial" w:cs="Arial"/>
                <w:sz w:val="22"/>
              </w:rPr>
            </w:pPr>
          </w:p>
        </w:tc>
      </w:tr>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43FC0">
        <w:rPr>
          <w:rFonts w:ascii="Arial" w:hAnsi="Arial" w:cs="Arial"/>
          <w:sz w:val="22"/>
          <w:szCs w:val="22"/>
        </w:rPr>
        <w:t>LMS</w:t>
      </w:r>
      <w:proofErr w:type="spellEnd"/>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Default="009922A6" w:rsidP="009922A6">
      <w:pPr>
        <w:rPr>
          <w:rFonts w:ascii="Arial" w:hAnsi="Arial" w:cs="Arial"/>
          <w:sz w:val="22"/>
          <w:szCs w:val="22"/>
          <w:u w:val="single"/>
        </w:rPr>
      </w:pPr>
      <w:r w:rsidRPr="00E1466F">
        <w:rPr>
          <w:rFonts w:ascii="Arial" w:hAnsi="Arial" w:cs="Arial"/>
          <w:sz w:val="22"/>
          <w:szCs w:val="22"/>
          <w:u w:val="single"/>
        </w:rPr>
        <w:t>The 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351A12" w:rsidRDefault="00351A12">
      <w:pPr>
        <w:rPr>
          <w:rFonts w:ascii="Arial" w:hAnsi="Arial"/>
          <w:bCs/>
          <w:sz w:val="22"/>
        </w:rPr>
      </w:pPr>
    </w:p>
    <w:p w:rsidR="00456BF9" w:rsidRPr="00145F9D" w:rsidRDefault="00456BF9" w:rsidP="00456BF9">
      <w:pPr>
        <w:rPr>
          <w:rFonts w:ascii="Arial" w:hAnsi="Arial" w:cs="Arial"/>
          <w:sz w:val="22"/>
          <w:szCs w:val="22"/>
        </w:rPr>
      </w:pPr>
    </w:p>
    <w:sectPr w:rsidR="00456BF9" w:rsidRPr="00145F9D" w:rsidSect="0061105D">
      <w:headerReference w:type="default" r:id="rId8"/>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79" w:rsidRDefault="00E42079">
      <w:r>
        <w:separator/>
      </w:r>
    </w:p>
  </w:endnote>
  <w:endnote w:type="continuationSeparator" w:id="0">
    <w:p w:rsidR="00E42079" w:rsidRDefault="00E4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79" w:rsidRDefault="00E42079">
      <w:r>
        <w:separator/>
      </w:r>
    </w:p>
  </w:footnote>
  <w:footnote w:type="continuationSeparator" w:id="0">
    <w:p w:rsidR="00E42079" w:rsidRDefault="00E4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85" w:rsidRDefault="00A92785">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CC117B">
      <w:rPr>
        <w:rStyle w:val="PageNumber"/>
        <w:rFonts w:ascii="Arial" w:hAnsi="Arial" w:cs="Arial"/>
        <w:b/>
        <w:bCs/>
        <w:sz w:val="22"/>
      </w:rPr>
      <w:fldChar w:fldCharType="begin"/>
    </w:r>
    <w:r>
      <w:rPr>
        <w:rStyle w:val="PageNumber"/>
        <w:rFonts w:ascii="Arial" w:hAnsi="Arial" w:cs="Arial"/>
        <w:b/>
        <w:bCs/>
        <w:sz w:val="22"/>
      </w:rPr>
      <w:instrText xml:space="preserve"> PAGE </w:instrText>
    </w:r>
    <w:r w:rsidR="00CC117B">
      <w:rPr>
        <w:rStyle w:val="PageNumber"/>
        <w:rFonts w:ascii="Arial" w:hAnsi="Arial" w:cs="Arial"/>
        <w:b/>
        <w:bCs/>
        <w:sz w:val="22"/>
      </w:rPr>
      <w:fldChar w:fldCharType="separate"/>
    </w:r>
    <w:r w:rsidR="008D4E42">
      <w:rPr>
        <w:rStyle w:val="PageNumber"/>
        <w:rFonts w:ascii="Arial" w:hAnsi="Arial" w:cs="Arial"/>
        <w:b/>
        <w:bCs/>
        <w:noProof/>
        <w:sz w:val="22"/>
      </w:rPr>
      <w:t>6</w:t>
    </w:r>
    <w:r w:rsidR="00CC117B">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A92785" w:rsidRDefault="00A92785">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A92785" w:rsidRDefault="00A92785">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5E34"/>
    <w:rsid w:val="000458E5"/>
    <w:rsid w:val="000801EB"/>
    <w:rsid w:val="000D24E3"/>
    <w:rsid w:val="00112BFA"/>
    <w:rsid w:val="00145F9D"/>
    <w:rsid w:val="001466CF"/>
    <w:rsid w:val="00156E4D"/>
    <w:rsid w:val="0018332F"/>
    <w:rsid w:val="002815A0"/>
    <w:rsid w:val="002C770D"/>
    <w:rsid w:val="002F69DB"/>
    <w:rsid w:val="0034307E"/>
    <w:rsid w:val="00351A12"/>
    <w:rsid w:val="00416842"/>
    <w:rsid w:val="00456BF9"/>
    <w:rsid w:val="0050179B"/>
    <w:rsid w:val="00520862"/>
    <w:rsid w:val="00535A59"/>
    <w:rsid w:val="0055262E"/>
    <w:rsid w:val="005615E5"/>
    <w:rsid w:val="0061105D"/>
    <w:rsid w:val="006434DC"/>
    <w:rsid w:val="00674858"/>
    <w:rsid w:val="0069429B"/>
    <w:rsid w:val="006A024B"/>
    <w:rsid w:val="006B385B"/>
    <w:rsid w:val="00704A50"/>
    <w:rsid w:val="00765D18"/>
    <w:rsid w:val="0084058F"/>
    <w:rsid w:val="008A4849"/>
    <w:rsid w:val="008D4E42"/>
    <w:rsid w:val="008E73DF"/>
    <w:rsid w:val="00940B5A"/>
    <w:rsid w:val="009673E8"/>
    <w:rsid w:val="009922A6"/>
    <w:rsid w:val="009A4459"/>
    <w:rsid w:val="009A58AB"/>
    <w:rsid w:val="009E6716"/>
    <w:rsid w:val="009F4857"/>
    <w:rsid w:val="00A92785"/>
    <w:rsid w:val="00AA1245"/>
    <w:rsid w:val="00AC0032"/>
    <w:rsid w:val="00AF5E34"/>
    <w:rsid w:val="00AF6100"/>
    <w:rsid w:val="00B0621A"/>
    <w:rsid w:val="00B0742C"/>
    <w:rsid w:val="00B14F8A"/>
    <w:rsid w:val="00BA3059"/>
    <w:rsid w:val="00C073F6"/>
    <w:rsid w:val="00C71570"/>
    <w:rsid w:val="00C90B25"/>
    <w:rsid w:val="00CC117B"/>
    <w:rsid w:val="00CC2E81"/>
    <w:rsid w:val="00CE46E2"/>
    <w:rsid w:val="00CF740B"/>
    <w:rsid w:val="00D53858"/>
    <w:rsid w:val="00D829B7"/>
    <w:rsid w:val="00E24800"/>
    <w:rsid w:val="00E30ED9"/>
    <w:rsid w:val="00E42079"/>
    <w:rsid w:val="00EC0A2F"/>
    <w:rsid w:val="00FC54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D7207-3CF2-4398-B429-A2BE6971CFFE}"/>
</file>

<file path=customXml/itemProps2.xml><?xml version="1.0" encoding="utf-8"?>
<ds:datastoreItem xmlns:ds="http://schemas.openxmlformats.org/officeDocument/2006/customXml" ds:itemID="{EA146605-D359-4830-B8E1-F0C87347F2EB}"/>
</file>

<file path=customXml/itemProps3.xml><?xml version="1.0" encoding="utf-8"?>
<ds:datastoreItem xmlns:ds="http://schemas.openxmlformats.org/officeDocument/2006/customXml" ds:itemID="{2E9359B0-3E12-487B-AE27-FED0A6D4464A}"/>
</file>

<file path=docProps/app.xml><?xml version="1.0" encoding="utf-8"?>
<Properties xmlns="http://schemas.openxmlformats.org/officeDocument/2006/extended-properties" xmlns:vt="http://schemas.openxmlformats.org/officeDocument/2006/docPropsVTypes">
  <Template>Normal.dotm</Template>
  <TotalTime>5</TotalTime>
  <Pages>6</Pages>
  <Words>1451</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2011-06-14T19:31:00Z</cp:lastPrinted>
  <dcterms:created xsi:type="dcterms:W3CDTF">2011-05-30T15:38:00Z</dcterms:created>
  <dcterms:modified xsi:type="dcterms:W3CDTF">2011-06-14T19:31:00Z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10733200</vt:r8>
  </property>
</Properties>
</file>